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AE" w:rsidRPr="00825EA4" w:rsidRDefault="00B42B56">
      <w:pPr>
        <w:rPr>
          <w:b/>
          <w:sz w:val="28"/>
          <w:szCs w:val="28"/>
        </w:rPr>
      </w:pPr>
      <w:r w:rsidRPr="00825EA4">
        <w:rPr>
          <w:b/>
          <w:sz w:val="28"/>
          <w:szCs w:val="28"/>
        </w:rPr>
        <w:t>Recht</w:t>
      </w:r>
      <w:r w:rsidR="000C65F7">
        <w:rPr>
          <w:b/>
          <w:sz w:val="28"/>
          <w:szCs w:val="28"/>
        </w:rPr>
        <w:t>liche Hinweise</w:t>
      </w:r>
      <w:r w:rsidRPr="00825EA4">
        <w:rPr>
          <w:b/>
          <w:sz w:val="28"/>
          <w:szCs w:val="28"/>
        </w:rPr>
        <w:t>:</w:t>
      </w:r>
    </w:p>
    <w:p w:rsidR="00B42B56" w:rsidRPr="00825EA4" w:rsidRDefault="00B42B56" w:rsidP="00410A2C">
      <w:pPr>
        <w:pStyle w:val="Listenabsatz"/>
        <w:numPr>
          <w:ilvl w:val="0"/>
          <w:numId w:val="1"/>
        </w:numPr>
        <w:ind w:left="426" w:hanging="426"/>
        <w:rPr>
          <w:sz w:val="21"/>
          <w:szCs w:val="21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Ich muss keine Maske tragen, für mich gilt ein </w:t>
      </w:r>
      <w:r w:rsidRPr="00825EA4">
        <w:rPr>
          <w:rStyle w:val="Fett"/>
          <w:rFonts w:cstheme="minorHAnsi"/>
          <w:color w:val="000000"/>
          <w:sz w:val="21"/>
          <w:szCs w:val="21"/>
          <w:shd w:val="clear" w:color="auto" w:fill="FFFFFF"/>
        </w:rPr>
        <w:t>Ausnahme-Tatbestand</w:t>
      </w:r>
      <w:r w:rsidR="00410A2C" w:rsidRPr="00825EA4">
        <w:rPr>
          <w:rFonts w:cstheme="minorHAnsi"/>
          <w:color w:val="000000"/>
          <w:sz w:val="21"/>
          <w:szCs w:val="21"/>
          <w:shd w:val="clear" w:color="auto" w:fill="FFFFFF"/>
        </w:rPr>
        <w:t>:</w:t>
      </w:r>
      <w:r w:rsidR="00410A2C" w:rsidRPr="00825EA4">
        <w:rPr>
          <w:rFonts w:cstheme="minorHAnsi"/>
          <w:color w:val="000000"/>
          <w:sz w:val="21"/>
          <w:szCs w:val="21"/>
          <w:shd w:val="clear" w:color="auto" w:fill="FFFFFF"/>
        </w:rPr>
        <w:br/>
      </w:r>
      <w:r w:rsidR="00E55B8F" w:rsidRPr="00825EA4">
        <w:rPr>
          <w:rFonts w:cstheme="minorHAnsi"/>
          <w:color w:val="000000"/>
          <w:sz w:val="21"/>
          <w:szCs w:val="21"/>
          <w:shd w:val="clear" w:color="auto" w:fill="FFFFFF"/>
        </w:rPr>
        <w:t>v</w:t>
      </w: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gl. </w:t>
      </w:r>
      <w:r w:rsidR="000E35FB" w:rsidRPr="00825EA4">
        <w:rPr>
          <w:rFonts w:cstheme="minorHAnsi"/>
          <w:sz w:val="21"/>
          <w:szCs w:val="21"/>
          <w:u w:val="single"/>
        </w:rPr>
        <w:t xml:space="preserve">SARS-CoV-2-UmgV </w:t>
      </w:r>
      <w:r w:rsidR="00E55B8F" w:rsidRPr="00825EA4">
        <w:rPr>
          <w:rFonts w:cstheme="minorHAnsi"/>
          <w:sz w:val="21"/>
          <w:szCs w:val="21"/>
          <w:u w:val="single"/>
        </w:rPr>
        <w:t xml:space="preserve"> </w:t>
      </w:r>
      <w:r w:rsidR="000E35FB" w:rsidRPr="00825EA4">
        <w:rPr>
          <w:rFonts w:cstheme="minorHAnsi"/>
          <w:sz w:val="21"/>
          <w:szCs w:val="21"/>
          <w:u w:val="single"/>
        </w:rPr>
        <w:t>(12.06.20) §2 Abs. (3</w:t>
      </w:r>
      <w:r w:rsidRPr="00825EA4">
        <w:rPr>
          <w:rFonts w:cstheme="minorHAnsi"/>
          <w:sz w:val="21"/>
          <w:szCs w:val="21"/>
          <w:u w:val="single"/>
        </w:rPr>
        <w:t>)</w:t>
      </w:r>
      <w:r w:rsidR="00E55B8F" w:rsidRPr="00825EA4">
        <w:rPr>
          <w:rFonts w:cstheme="minorHAnsi"/>
          <w:sz w:val="21"/>
          <w:szCs w:val="21"/>
        </w:rPr>
        <w:t xml:space="preserve"> </w:t>
      </w:r>
      <w:r w:rsidR="000E35FB" w:rsidRPr="00825EA4">
        <w:rPr>
          <w:rFonts w:cstheme="minorHAnsi"/>
          <w:sz w:val="21"/>
          <w:szCs w:val="21"/>
        </w:rPr>
        <w:t xml:space="preserve">und Änderung </w:t>
      </w:r>
      <w:r w:rsidR="000E35FB" w:rsidRPr="00825EA4">
        <w:rPr>
          <w:rFonts w:cstheme="minorHAnsi"/>
          <w:sz w:val="21"/>
          <w:szCs w:val="21"/>
          <w:u w:val="single"/>
        </w:rPr>
        <w:t>SARS-CoV-2-UmgV (11.08.20)</w:t>
      </w:r>
      <w:r w:rsidR="000E35FB" w:rsidRPr="00825EA4">
        <w:rPr>
          <w:rFonts w:cstheme="minorHAnsi"/>
          <w:sz w:val="21"/>
          <w:szCs w:val="21"/>
        </w:rPr>
        <w:br/>
        <w:t>„Ausgenommen von der Pflicht zum Tragen einer Mund-Nasen-Bedeckung sind … 2. Personen, denen die Verwendung einer Mund-Nasen-Bedeckung […] aus gesundheitlichen Gründen nicht möglich oder unzumutbar ist; dies ist in geeigneter Weise glaubhaft zu machen, […]</w:t>
      </w:r>
      <w:r w:rsidR="00E55B8F" w:rsidRPr="00825EA4">
        <w:rPr>
          <w:sz w:val="21"/>
          <w:szCs w:val="21"/>
        </w:rPr>
        <w:t>.“</w:t>
      </w:r>
      <w:r w:rsidR="00410A2C" w:rsidRPr="00825EA4">
        <w:rPr>
          <w:sz w:val="21"/>
          <w:szCs w:val="21"/>
        </w:rPr>
        <w:br/>
      </w:r>
    </w:p>
    <w:p w:rsidR="00E55B8F" w:rsidRPr="00825EA4" w:rsidRDefault="00E55B8F" w:rsidP="00410A2C">
      <w:pPr>
        <w:pStyle w:val="Listenabsatz"/>
        <w:numPr>
          <w:ilvl w:val="0"/>
          <w:numId w:val="1"/>
        </w:numPr>
        <w:ind w:left="426" w:hanging="426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Sie dürfen mich nicht nach den Gründen, die Maske nicht zu tragen, fragen, da dies bereits diskriminierend nach dem </w:t>
      </w:r>
      <w:r w:rsidRPr="00825EA4">
        <w:rPr>
          <w:rStyle w:val="Fett"/>
          <w:rFonts w:cstheme="minorHAnsi"/>
          <w:color w:val="000000"/>
          <w:sz w:val="21"/>
          <w:szCs w:val="21"/>
          <w:shd w:val="clear" w:color="auto" w:fill="FFFFFF"/>
        </w:rPr>
        <w:t>Allgemeinen Gleichbehandlungsgesetz</w:t>
      </w: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 (AGG) wäre.</w:t>
      </w:r>
      <w:r w:rsidR="00825EA4"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8A6D3B" w:rsidRPr="00825EA4">
        <w:rPr>
          <w:rFonts w:cstheme="minorHAnsi"/>
          <w:color w:val="000000"/>
          <w:sz w:val="21"/>
          <w:szCs w:val="21"/>
          <w:shd w:val="clear" w:color="auto" w:fill="FFFFFF"/>
        </w:rPr>
        <w:t>Hier im Speziellen Behinderung durch chronische Krankheiten</w:t>
      </w:r>
      <w:r w:rsidR="00825EA4" w:rsidRPr="00825EA4">
        <w:rPr>
          <w:rFonts w:cstheme="minorHAnsi"/>
          <w:color w:val="000000"/>
          <w:sz w:val="21"/>
          <w:szCs w:val="21"/>
          <w:shd w:val="clear" w:color="auto" w:fill="FFFFFF"/>
        </w:rPr>
        <w:t>.</w:t>
      </w:r>
      <w:r w:rsidR="00410A2C" w:rsidRPr="00825EA4">
        <w:rPr>
          <w:rFonts w:cstheme="minorHAnsi"/>
          <w:color w:val="000000"/>
          <w:sz w:val="21"/>
          <w:szCs w:val="21"/>
          <w:shd w:val="clear" w:color="auto" w:fill="FFFFFF"/>
        </w:rPr>
        <w:br/>
      </w:r>
    </w:p>
    <w:p w:rsidR="00232972" w:rsidRPr="00825EA4" w:rsidRDefault="00E55B8F" w:rsidP="00410A2C">
      <w:pPr>
        <w:pStyle w:val="Listenabsatz"/>
        <w:numPr>
          <w:ilvl w:val="0"/>
          <w:numId w:val="1"/>
        </w:numPr>
        <w:ind w:left="426" w:hanging="426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Ich muss Ihnen aus </w:t>
      </w:r>
      <w:r w:rsidRPr="00825EA4">
        <w:rPr>
          <w:rStyle w:val="Fett"/>
          <w:rFonts w:cstheme="minorHAnsi"/>
          <w:color w:val="000000"/>
          <w:sz w:val="21"/>
          <w:szCs w:val="21"/>
          <w:shd w:val="clear" w:color="auto" w:fill="FFFFFF"/>
        </w:rPr>
        <w:t>Datenschutzgründen</w:t>
      </w: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 keine Bescheinigungen etc. vorlegen</w:t>
      </w:r>
      <w:r w:rsidR="00BC0D5F" w:rsidRPr="00825EA4">
        <w:rPr>
          <w:rFonts w:cstheme="minorHAnsi"/>
          <w:color w:val="000000"/>
          <w:sz w:val="21"/>
          <w:szCs w:val="21"/>
          <w:shd w:val="clear" w:color="auto" w:fill="FFFFFF"/>
        </w:rPr>
        <w:t>:</w:t>
      </w:r>
      <w:r w:rsidR="00410A2C" w:rsidRPr="00825EA4">
        <w:rPr>
          <w:rFonts w:cstheme="minorHAnsi"/>
          <w:color w:val="000000"/>
          <w:sz w:val="21"/>
          <w:szCs w:val="21"/>
          <w:shd w:val="clear" w:color="auto" w:fill="FFFFFF"/>
        </w:rPr>
        <w:br/>
      </w:r>
      <w:r w:rsidR="00D63D70" w:rsidRPr="00825EA4">
        <w:rPr>
          <w:rFonts w:cstheme="minorHAnsi"/>
          <w:color w:val="333333"/>
          <w:sz w:val="21"/>
          <w:szCs w:val="21"/>
          <w:shd w:val="clear" w:color="auto" w:fill="FFFFFF"/>
        </w:rPr>
        <w:t>Informationen zum Gesundheitszustand einer natürlichen Person zählen zu den </w:t>
      </w:r>
      <w:r w:rsidR="00D63D70" w:rsidRPr="00825EA4">
        <w:rPr>
          <w:rStyle w:val="Fett"/>
          <w:rFonts w:cstheme="minorHAnsi"/>
          <w:color w:val="333333"/>
          <w:sz w:val="21"/>
          <w:szCs w:val="21"/>
          <w:shd w:val="clear" w:color="auto" w:fill="FFFFFF"/>
        </w:rPr>
        <w:t>besonderen Arten personenbezogener Daten</w:t>
      </w:r>
      <w:r w:rsidR="00D63D70" w:rsidRPr="00825EA4">
        <w:rPr>
          <w:rFonts w:cstheme="minorHAnsi"/>
          <w:color w:val="333333"/>
          <w:sz w:val="21"/>
          <w:szCs w:val="21"/>
          <w:shd w:val="clear" w:color="auto" w:fill="FFFFFF"/>
        </w:rPr>
        <w:t>. Diese sind besonders schützenswert und dürfen nur in seltenen Ausnahmefällen tatsächlich gespeichert, genutzt und verarbeitet werden. Das </w:t>
      </w:r>
      <w:r w:rsidR="00232972" w:rsidRPr="00825EA4">
        <w:rPr>
          <w:rFonts w:cstheme="minorHAnsi"/>
          <w:sz w:val="21"/>
          <w:szCs w:val="21"/>
          <w:shd w:val="clear" w:color="auto" w:fill="FFFFFF"/>
        </w:rPr>
        <w:t>BDSG-NEU</w:t>
      </w:r>
      <w:r w:rsidR="00D63D70" w:rsidRPr="00825EA4">
        <w:rPr>
          <w:rFonts w:cstheme="minorHAnsi"/>
          <w:color w:val="333333"/>
          <w:sz w:val="21"/>
          <w:szCs w:val="21"/>
          <w:shd w:val="clear" w:color="auto" w:fill="FFFFFF"/>
        </w:rPr>
        <w:t> nennt an unterschiedlichen Stellen einzelne Voraussetzungen, die die Erhebung auch solch sensibler Patientendaten ermöglichen.</w:t>
      </w:r>
      <w:r w:rsidR="00410A2C" w:rsidRPr="00825EA4">
        <w:rPr>
          <w:rFonts w:cstheme="minorHAnsi"/>
          <w:color w:val="333333"/>
          <w:sz w:val="21"/>
          <w:szCs w:val="21"/>
          <w:shd w:val="clear" w:color="auto" w:fill="FFFFFF"/>
        </w:rPr>
        <w:br/>
      </w:r>
      <w:r w:rsidR="00BC0D5F" w:rsidRPr="00825EA4">
        <w:rPr>
          <w:sz w:val="21"/>
          <w:szCs w:val="21"/>
        </w:rPr>
        <w:t>„</w:t>
      </w:r>
      <w:r w:rsidR="00232972" w:rsidRPr="00825EA4">
        <w:rPr>
          <w:sz w:val="21"/>
          <w:szCs w:val="21"/>
        </w:rPr>
        <w:t>Im Wesentlichen ist die</w:t>
      </w:r>
      <w:r w:rsidR="00BC0D5F" w:rsidRPr="00825EA4">
        <w:rPr>
          <w:sz w:val="21"/>
          <w:szCs w:val="21"/>
        </w:rPr>
        <w:t>s</w:t>
      </w:r>
      <w:r w:rsidR="00BC0D5F" w:rsidRPr="00825EA4">
        <w:rPr>
          <w:rStyle w:val="Fett"/>
          <w:rFonts w:cstheme="minorHAnsi"/>
          <w:color w:val="333333"/>
          <w:sz w:val="21"/>
          <w:szCs w:val="21"/>
        </w:rPr>
        <w:t xml:space="preserve"> …</w:t>
      </w:r>
      <w:r w:rsidR="00232972" w:rsidRPr="00825EA4">
        <w:rPr>
          <w:rStyle w:val="Fett"/>
          <w:rFonts w:cstheme="minorHAnsi"/>
          <w:color w:val="333333"/>
          <w:sz w:val="21"/>
          <w:szCs w:val="21"/>
        </w:rPr>
        <w:t xml:space="preserve"> nur dann zulässig</w:t>
      </w:r>
      <w:r w:rsidR="00232972" w:rsidRPr="00825EA4">
        <w:rPr>
          <w:sz w:val="21"/>
          <w:szCs w:val="21"/>
        </w:rPr>
        <w:t>, wenn der Betroffene dem Vorgang zugestimmt hat und/oder die Erhebung gesundheitliche Interessen des Betroffenen verfolgt (Vorsorge, Diagnostik, Behandlung usf.).</w:t>
      </w:r>
      <w:r w:rsidR="00BC0D5F" w:rsidRPr="00825EA4">
        <w:rPr>
          <w:sz w:val="21"/>
          <w:szCs w:val="21"/>
        </w:rPr>
        <w:t>“</w:t>
      </w:r>
      <w:r w:rsidR="00410A2C" w:rsidRPr="00825EA4">
        <w:rPr>
          <w:sz w:val="21"/>
          <w:szCs w:val="21"/>
        </w:rPr>
        <w:br/>
      </w:r>
    </w:p>
    <w:p w:rsidR="000B396E" w:rsidRPr="00825EA4" w:rsidRDefault="000B396E" w:rsidP="00410A2C">
      <w:pPr>
        <w:pStyle w:val="Listenabsatz"/>
        <w:numPr>
          <w:ilvl w:val="0"/>
          <w:numId w:val="1"/>
        </w:numPr>
        <w:ind w:left="426" w:hanging="426"/>
        <w:rPr>
          <w:rFonts w:cstheme="minorHAnsi"/>
          <w:sz w:val="21"/>
          <w:szCs w:val="21"/>
          <w:shd w:val="clear" w:color="auto" w:fill="FFFFFF"/>
        </w:rPr>
      </w:pPr>
      <w:r w:rsidRPr="00825EA4">
        <w:rPr>
          <w:rFonts w:cstheme="minorHAnsi"/>
          <w:sz w:val="21"/>
          <w:szCs w:val="21"/>
          <w:shd w:val="clear" w:color="auto" w:fill="FFFFFF"/>
        </w:rPr>
        <w:t xml:space="preserve">In der Verordnung ist keine Mitführverpflichtung von Attesten verankert, </w:t>
      </w:r>
      <w:r w:rsidR="00825EA4" w:rsidRPr="00825EA4">
        <w:rPr>
          <w:rFonts w:cstheme="minorHAnsi"/>
          <w:sz w:val="21"/>
          <w:szCs w:val="21"/>
          <w:shd w:val="clear" w:color="auto" w:fill="FFFFFF"/>
        </w:rPr>
        <w:t>somit haben</w:t>
      </w:r>
      <w:r w:rsidRPr="00825EA4">
        <w:rPr>
          <w:rFonts w:cstheme="minorHAnsi"/>
          <w:sz w:val="21"/>
          <w:szCs w:val="21"/>
          <w:shd w:val="clear" w:color="auto" w:fill="FFFFFF"/>
        </w:rPr>
        <w:t xml:space="preserve"> weder die Ordnungsbehörden noch die Polizeibeamten ein Recht darauf, Einsicht in die Atteste zu nehmen. </w:t>
      </w:r>
    </w:p>
    <w:p w:rsidR="000B396E" w:rsidRPr="00825EA4" w:rsidRDefault="000B396E" w:rsidP="00B42B56">
      <w:pPr>
        <w:rPr>
          <w:rFonts w:cstheme="minorHAnsi"/>
          <w:sz w:val="21"/>
          <w:szCs w:val="21"/>
          <w:shd w:val="clear" w:color="auto" w:fill="FFFFFF"/>
        </w:rPr>
      </w:pPr>
      <w:r w:rsidRPr="00825EA4">
        <w:rPr>
          <w:rFonts w:cstheme="minorHAnsi"/>
          <w:sz w:val="21"/>
          <w:szCs w:val="21"/>
          <w:shd w:val="clear" w:color="auto" w:fill="FFFFFF"/>
        </w:rPr>
        <w:t>Zudem möchte ich darauf hinweisen, dass Supermarktinhaber eine </w:t>
      </w:r>
      <w:r w:rsidRPr="00825EA4">
        <w:rPr>
          <w:rStyle w:val="Fett"/>
          <w:rFonts w:cstheme="minorHAnsi"/>
          <w:sz w:val="21"/>
          <w:szCs w:val="21"/>
          <w:shd w:val="clear" w:color="auto" w:fill="FFFFFF"/>
        </w:rPr>
        <w:t>Grundversorgung</w:t>
      </w:r>
      <w:r w:rsidRPr="00825EA4">
        <w:rPr>
          <w:rFonts w:cstheme="minorHAnsi"/>
          <w:sz w:val="21"/>
          <w:szCs w:val="21"/>
          <w:shd w:val="clear" w:color="auto" w:fill="FFFFFF"/>
        </w:rPr>
        <w:t> der Bevölkerung sicherzustellen haben. Wird ein Geschäft für den „allgemeinen Publikumsverkehr“ eröffnet – wie es bei Supermärkten der Fall ist –, erteilt der Besitzer „generell und unter Verzicht auf eine Prüfung im Einzelfall eine Zutrittsbefugnis“, vgl. LG Bonn, Az.: 10 O 457/99.</w:t>
      </w:r>
    </w:p>
    <w:p w:rsidR="00410A2C" w:rsidRPr="00825EA4" w:rsidRDefault="00410A2C" w:rsidP="00B42B56">
      <w:pPr>
        <w:rPr>
          <w:rFonts w:cstheme="minorHAnsi"/>
          <w:sz w:val="21"/>
          <w:szCs w:val="21"/>
          <w:shd w:val="clear" w:color="auto" w:fill="FFFFFF"/>
        </w:rPr>
      </w:pPr>
      <w:r w:rsidRPr="00825EA4">
        <w:rPr>
          <w:rFonts w:cstheme="minorHAnsi"/>
          <w:sz w:val="21"/>
          <w:szCs w:val="21"/>
          <w:shd w:val="clear" w:color="auto" w:fill="FFFFFF"/>
        </w:rPr>
        <w:t>Der Zutritt kann allenfalls nur aus einem </w:t>
      </w:r>
      <w:r w:rsidRPr="00825EA4">
        <w:rPr>
          <w:rStyle w:val="Fett"/>
          <w:rFonts w:cstheme="minorHAnsi"/>
          <w:sz w:val="21"/>
          <w:szCs w:val="21"/>
          <w:shd w:val="clear" w:color="auto" w:fill="FFFFFF"/>
        </w:rPr>
        <w:t>sachlichen Grund</w:t>
      </w:r>
      <w:r w:rsidRPr="00825EA4">
        <w:rPr>
          <w:rFonts w:cstheme="minorHAnsi"/>
          <w:sz w:val="21"/>
          <w:szCs w:val="21"/>
          <w:shd w:val="clear" w:color="auto" w:fill="FFFFFF"/>
        </w:rPr>
        <w:t> verweigert werden. Das bedeutet, dass die Zutrittsverweigerung </w:t>
      </w:r>
      <w:r w:rsidRPr="00825EA4">
        <w:rPr>
          <w:rStyle w:val="Fett"/>
          <w:rFonts w:cstheme="minorHAnsi"/>
          <w:sz w:val="21"/>
          <w:szCs w:val="21"/>
          <w:shd w:val="clear" w:color="auto" w:fill="FFFFFF"/>
        </w:rPr>
        <w:t>nicht willkürlich</w:t>
      </w:r>
      <w:r w:rsidRPr="00825EA4">
        <w:rPr>
          <w:rFonts w:cstheme="minorHAnsi"/>
          <w:sz w:val="21"/>
          <w:szCs w:val="21"/>
          <w:shd w:val="clear" w:color="auto" w:fill="FFFFFF"/>
        </w:rPr>
        <w:t xml:space="preserve"> ausgesprochen werden darf. Da Personen, die aus medizinischen Gründen keine Mundnasenbedeckung tragen können, von der Verpflichtung zum Tragen einer MNB ausdrücklich ausgenommen sind, liegt ein sachlicher Grund für deren </w:t>
      </w:r>
      <w:r w:rsidR="00825EA4" w:rsidRPr="00825EA4">
        <w:rPr>
          <w:rFonts w:cstheme="minorHAnsi"/>
          <w:sz w:val="21"/>
          <w:szCs w:val="21"/>
          <w:shd w:val="clear" w:color="auto" w:fill="FFFFFF"/>
        </w:rPr>
        <w:t>Ausgrenzung ja</w:t>
      </w:r>
      <w:r w:rsidRPr="00825EA4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825EA4" w:rsidRPr="00825EA4">
        <w:rPr>
          <w:rFonts w:cstheme="minorHAnsi"/>
          <w:sz w:val="21"/>
          <w:szCs w:val="21"/>
          <w:shd w:val="clear" w:color="auto" w:fill="FFFFFF"/>
        </w:rPr>
        <w:t>gerade nicht</w:t>
      </w:r>
      <w:r w:rsidRPr="00825EA4">
        <w:rPr>
          <w:rFonts w:cstheme="minorHAnsi"/>
          <w:sz w:val="21"/>
          <w:szCs w:val="21"/>
          <w:shd w:val="clear" w:color="auto" w:fill="FFFFFF"/>
        </w:rPr>
        <w:t xml:space="preserve"> vor. Diesen Personen kann der Zutritt nicht verweigert werden.</w:t>
      </w:r>
    </w:p>
    <w:p w:rsidR="00E55B8F" w:rsidRPr="00825EA4" w:rsidRDefault="00E55B8F" w:rsidP="00B42B5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Wenn Sie mich hier nicht einkaufen lassen, mich rauswerfen und/oder mir ein Hausverbot erteilen, werde ich Sie auf Entschädigungszahlung </w:t>
      </w:r>
      <w:r w:rsidR="00C417B2">
        <w:rPr>
          <w:rFonts w:cstheme="minorHAnsi"/>
          <w:color w:val="000000"/>
          <w:sz w:val="21"/>
          <w:szCs w:val="21"/>
          <w:shd w:val="clear" w:color="auto" w:fill="FFFFFF"/>
        </w:rPr>
        <w:t xml:space="preserve">verklagen </w:t>
      </w:r>
      <w:bookmarkStart w:id="0" w:name="_GoBack"/>
      <w:bookmarkEnd w:id="0"/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und Unterlassung/Beseitigung nach dem AGG und/oder nach § 1004 BGB </w:t>
      </w:r>
      <w:r w:rsidR="000B396E"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(Beseitigungs- und Unterlassungsanspruch) </w:t>
      </w:r>
      <w:proofErr w:type="spellStart"/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i.V.m</w:t>
      </w:r>
      <w:proofErr w:type="spellEnd"/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. Art 2 Absatz 2 </w:t>
      </w:r>
      <w:proofErr w:type="spellStart"/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i.V.m</w:t>
      </w:r>
      <w:proofErr w:type="spellEnd"/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. Art 1 Absatz 2 GG (Grundgesetz) in Anspruch nehmen</w:t>
      </w:r>
      <w:r w:rsidRPr="00825EA4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812507" w:rsidRDefault="000B396E" w:rsidP="000B396E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Sollten Sie mich zwingen eine Maske zu tragen, werde ich eine Strafanzeige wegen Nötigung stellen.</w:t>
      </w:r>
    </w:p>
    <w:p w:rsidR="006E6A5A" w:rsidRPr="00825EA4" w:rsidRDefault="006E6A5A" w:rsidP="000B396E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8A6D3B" w:rsidRDefault="008A6D3B" w:rsidP="000B396E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Ich habe die vorstehenden Informationen gelesen und bestehe trotzdem auf Durchführung </w:t>
      </w:r>
      <w:r w:rsidR="00047F12" w:rsidRPr="00825EA4">
        <w:rPr>
          <w:rFonts w:cstheme="minorHAnsi"/>
          <w:color w:val="000000"/>
          <w:sz w:val="21"/>
          <w:szCs w:val="21"/>
          <w:shd w:val="clear" w:color="auto" w:fill="FFFFFF"/>
        </w:rPr>
        <w:t>von</w:t>
      </w:r>
      <w:r w:rsidR="0045445D">
        <w:rPr>
          <w:rFonts w:cstheme="minorHAnsi"/>
          <w:color w:val="000000"/>
          <w:sz w:val="21"/>
          <w:szCs w:val="21"/>
          <w:shd w:val="clear" w:color="auto" w:fill="FFFFFF"/>
        </w:rPr>
        <w:t xml:space="preserve"> Maßnahmen.</w:t>
      </w:r>
      <w:r w:rsidR="0045445D">
        <w:rPr>
          <w:rFonts w:cstheme="minorHAnsi"/>
          <w:color w:val="000000"/>
          <w:sz w:val="21"/>
          <w:szCs w:val="21"/>
          <w:shd w:val="clear" w:color="auto" w:fill="FFFFFF"/>
        </w:rPr>
        <w:br/>
      </w:r>
      <w:r w:rsidR="0045445D" w:rsidRPr="0045445D">
        <w:rPr>
          <w:rFonts w:cstheme="minorHAnsi"/>
          <w:color w:val="000000"/>
          <w:sz w:val="21"/>
          <w:szCs w:val="21"/>
          <w:shd w:val="clear" w:color="auto" w:fill="FFFFFF"/>
        </w:rPr>
        <w:t>Für Schäden in Zusammenhang mit der Auflage zum Tragen einer Maske übernehme ich die volle Haftung.</w:t>
      </w:r>
    </w:p>
    <w:p w:rsidR="006E6A5A" w:rsidRPr="00825EA4" w:rsidRDefault="006E6A5A" w:rsidP="000B396E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8A6D3B" w:rsidRPr="00825EA4" w:rsidRDefault="008A6D3B" w:rsidP="000B396E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br/>
        <w:t>Name, Vorname, Position</w:t>
      </w:r>
    </w:p>
    <w:p w:rsidR="0045445D" w:rsidRDefault="0045445D" w:rsidP="00175B3D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8A6D3B" w:rsidRPr="00175B3D" w:rsidRDefault="000E35FB" w:rsidP="00175B3D">
      <w:pPr>
        <w:jc w:val="both"/>
        <w:rPr>
          <w:rFonts w:cstheme="minorHAnsi"/>
          <w:color w:val="000000"/>
          <w:sz w:val="21"/>
          <w:szCs w:val="21"/>
          <w:shd w:val="clear" w:color="auto" w:fill="FFFFFF"/>
        </w:rPr>
      </w:pPr>
      <w:r w:rsidRPr="00825EA4">
        <w:rPr>
          <w:rFonts w:cstheme="minorHAnsi"/>
          <w:color w:val="000000"/>
          <w:sz w:val="21"/>
          <w:szCs w:val="21"/>
          <w:shd w:val="clear" w:color="auto" w:fill="FFFFFF"/>
        </w:rPr>
        <w:t>Potsdam</w:t>
      </w:r>
      <w:r w:rsidR="008A6D3B" w:rsidRPr="00825EA4">
        <w:rPr>
          <w:rFonts w:cstheme="minorHAnsi"/>
          <w:color w:val="000000"/>
          <w:sz w:val="21"/>
          <w:szCs w:val="21"/>
          <w:shd w:val="clear" w:color="auto" w:fill="FFFFFF"/>
        </w:rPr>
        <w:t xml:space="preserve">, den </w:t>
      </w:r>
      <w:r w:rsidR="008A6D3B" w:rsidRPr="00825EA4">
        <w:rPr>
          <w:rFonts w:cstheme="minorHAnsi"/>
          <w:color w:val="000000"/>
          <w:sz w:val="21"/>
          <w:szCs w:val="21"/>
          <w:shd w:val="clear" w:color="auto" w:fill="FFFFFF"/>
        </w:rPr>
        <w:tab/>
      </w:r>
      <w:r w:rsidR="003E05FF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  <w:t xml:space="preserve">      </w:t>
      </w:r>
      <w:r w:rsidR="008A6D3B" w:rsidRPr="00825EA4">
        <w:rPr>
          <w:rFonts w:cstheme="minorHAnsi"/>
          <w:color w:val="000000"/>
          <w:sz w:val="21"/>
          <w:szCs w:val="21"/>
          <w:shd w:val="clear" w:color="auto" w:fill="FFFFFF"/>
        </w:rPr>
        <w:t>2020</w:t>
      </w:r>
      <w:r w:rsidR="003E05FF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8A6D3B"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="008A6D3B"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="008A6D3B"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="008A6D3B"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="008A6D3B"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="008A6D3B" w:rsidRPr="00825EA4">
        <w:rPr>
          <w:rFonts w:cstheme="minorHAnsi"/>
          <w:color w:val="000000"/>
          <w:sz w:val="21"/>
          <w:szCs w:val="21"/>
          <w:u w:val="single"/>
          <w:shd w:val="clear" w:color="auto" w:fill="FFFFFF"/>
        </w:rPr>
        <w:tab/>
      </w:r>
      <w:r w:rsidR="008A6D3B" w:rsidRPr="00825EA4">
        <w:rPr>
          <w:rFonts w:cstheme="minorHAnsi"/>
          <w:color w:val="000000"/>
          <w:sz w:val="21"/>
          <w:szCs w:val="21"/>
          <w:shd w:val="clear" w:color="auto" w:fill="FFFFFF"/>
        </w:rPr>
        <w:br/>
        <w:t>Ort, Datum, Unterschrift</w:t>
      </w:r>
    </w:p>
    <w:sectPr w:rsidR="008A6D3B" w:rsidRPr="00175B3D" w:rsidSect="00825EA4">
      <w:footerReference w:type="default" r:id="rId7"/>
      <w:pgSz w:w="11906" w:h="16838" w:code="9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06" w:rsidRDefault="002C5E06" w:rsidP="000E35FB">
      <w:pPr>
        <w:spacing w:after="0" w:line="240" w:lineRule="auto"/>
      </w:pPr>
      <w:r>
        <w:separator/>
      </w:r>
    </w:p>
  </w:endnote>
  <w:endnote w:type="continuationSeparator" w:id="0">
    <w:p w:rsidR="002C5E06" w:rsidRDefault="002C5E06" w:rsidP="000E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FF" w:rsidRDefault="000E35FB" w:rsidP="003E05FF">
    <w:pPr>
      <w:spacing w:after="0" w:line="240" w:lineRule="auto"/>
      <w:rPr>
        <w:sz w:val="16"/>
        <w:szCs w:val="16"/>
      </w:rPr>
    </w:pPr>
    <w:r w:rsidRPr="00825EA4">
      <w:rPr>
        <w:sz w:val="16"/>
        <w:szCs w:val="16"/>
      </w:rPr>
      <w:t>Vorlage</w:t>
    </w:r>
    <w:r w:rsidR="003E05FF">
      <w:rPr>
        <w:sz w:val="16"/>
        <w:szCs w:val="16"/>
      </w:rPr>
      <w:t>:</w:t>
    </w:r>
  </w:p>
  <w:p w:rsidR="00812507" w:rsidRDefault="00FB5F84" w:rsidP="003E05FF">
    <w:pPr>
      <w:spacing w:after="0" w:line="240" w:lineRule="auto"/>
      <w:rPr>
        <w:rFonts w:cstheme="minorHAnsi"/>
        <w:color w:val="000000"/>
        <w:sz w:val="16"/>
        <w:szCs w:val="16"/>
        <w:shd w:val="clear" w:color="auto" w:fill="FFFFFF"/>
      </w:rPr>
    </w:pPr>
    <w:hyperlink r:id="rId1" w:history="1">
      <w:r w:rsidR="003E05FF" w:rsidRPr="00D606B1">
        <w:rPr>
          <w:rStyle w:val="Hyperlink"/>
          <w:rFonts w:cstheme="minorHAnsi"/>
          <w:sz w:val="16"/>
          <w:szCs w:val="16"/>
          <w:shd w:val="clear" w:color="auto" w:fill="FFFFFF"/>
        </w:rPr>
        <w:t>https://www.afa.zone/beitraege/ivett-kaminski/maskenpflicht-keine-mitfuehrpflicht-von-attesten-kein-einsichtsrecht-in-atteste/</w:t>
      </w:r>
    </w:hyperlink>
  </w:p>
  <w:p w:rsidR="000E35FB" w:rsidRPr="00825EA4" w:rsidRDefault="00FB5F84" w:rsidP="003E05FF">
    <w:pPr>
      <w:spacing w:after="0" w:line="240" w:lineRule="auto"/>
      <w:rPr>
        <w:rFonts w:cstheme="minorHAnsi"/>
        <w:color w:val="000000"/>
        <w:sz w:val="16"/>
        <w:szCs w:val="16"/>
        <w:shd w:val="clear" w:color="auto" w:fill="FFFFFF"/>
      </w:rPr>
    </w:pPr>
    <w:hyperlink r:id="rId2" w:history="1">
      <w:r w:rsidR="000E35FB" w:rsidRPr="00825EA4">
        <w:rPr>
          <w:rStyle w:val="Hyperlink"/>
          <w:rFonts w:cstheme="minorHAnsi"/>
          <w:sz w:val="16"/>
          <w:szCs w:val="16"/>
          <w:shd w:val="clear" w:color="auto" w:fill="FFFFFF"/>
        </w:rPr>
        <w:t>https://klagepaten.eu/mund-nasen-masken-juristisch-betrachtet/</w:t>
      </w:r>
    </w:hyperlink>
    <w:r w:rsidR="000E35FB" w:rsidRPr="00825EA4">
      <w:rPr>
        <w:rFonts w:cstheme="minorHAnsi"/>
        <w:color w:val="000000"/>
        <w:sz w:val="16"/>
        <w:szCs w:val="16"/>
        <w:shd w:val="clear" w:color="auto" w:fill="FFFFFF"/>
      </w:rPr>
      <w:t xml:space="preserve"> </w:t>
    </w:r>
    <w:proofErr w:type="spellStart"/>
    <w:r w:rsidR="000E35FB" w:rsidRPr="00825EA4">
      <w:rPr>
        <w:rFonts w:cstheme="minorHAnsi"/>
        <w:color w:val="000000"/>
        <w:sz w:val="16"/>
        <w:szCs w:val="16"/>
        <w:shd w:val="clear" w:color="auto" w:fill="FFFFFF"/>
      </w:rPr>
      <w:t>geänd</w:t>
    </w:r>
    <w:proofErr w:type="spellEnd"/>
    <w:r w:rsidR="000E35FB" w:rsidRPr="00825EA4">
      <w:rPr>
        <w:rFonts w:cstheme="minorHAnsi"/>
        <w:color w:val="000000"/>
        <w:sz w:val="16"/>
        <w:szCs w:val="16"/>
        <w:shd w:val="clear" w:color="auto" w:fill="FFFFFF"/>
      </w:rPr>
      <w:t xml:space="preserve">. </w:t>
    </w:r>
    <w:r w:rsidR="00825EA4">
      <w:rPr>
        <w:rFonts w:cstheme="minorHAnsi"/>
        <w:color w:val="000000"/>
        <w:sz w:val="16"/>
        <w:szCs w:val="16"/>
        <w:shd w:val="clear" w:color="auto" w:fill="FFFFFF"/>
      </w:rPr>
      <w:t>f</w:t>
    </w:r>
    <w:r w:rsidR="000E35FB" w:rsidRPr="00825EA4">
      <w:rPr>
        <w:rFonts w:cstheme="minorHAnsi"/>
        <w:color w:val="000000"/>
        <w:sz w:val="16"/>
        <w:szCs w:val="16"/>
        <w:shd w:val="clear" w:color="auto" w:fill="FFFFFF"/>
      </w:rPr>
      <w:t>ür Brandenburg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06" w:rsidRDefault="002C5E06" w:rsidP="000E35FB">
      <w:pPr>
        <w:spacing w:after="0" w:line="240" w:lineRule="auto"/>
      </w:pPr>
      <w:r>
        <w:separator/>
      </w:r>
    </w:p>
  </w:footnote>
  <w:footnote w:type="continuationSeparator" w:id="0">
    <w:p w:rsidR="002C5E06" w:rsidRDefault="002C5E06" w:rsidP="000E3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AA"/>
    <w:multiLevelType w:val="hybridMultilevel"/>
    <w:tmpl w:val="CA104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E6475"/>
    <w:rsid w:val="00047F12"/>
    <w:rsid w:val="000B396E"/>
    <w:rsid w:val="000C65F7"/>
    <w:rsid w:val="000E35FB"/>
    <w:rsid w:val="00175B3D"/>
    <w:rsid w:val="00232972"/>
    <w:rsid w:val="002C5E06"/>
    <w:rsid w:val="003108D4"/>
    <w:rsid w:val="003E05FF"/>
    <w:rsid w:val="00401B2A"/>
    <w:rsid w:val="00410A2C"/>
    <w:rsid w:val="0045445D"/>
    <w:rsid w:val="006C3B33"/>
    <w:rsid w:val="006E6A5A"/>
    <w:rsid w:val="00812507"/>
    <w:rsid w:val="00825EA4"/>
    <w:rsid w:val="00842B2B"/>
    <w:rsid w:val="00865148"/>
    <w:rsid w:val="008660A8"/>
    <w:rsid w:val="008A6D3B"/>
    <w:rsid w:val="008D0AA2"/>
    <w:rsid w:val="00AE6475"/>
    <w:rsid w:val="00B42B56"/>
    <w:rsid w:val="00BC0D5F"/>
    <w:rsid w:val="00C417B2"/>
    <w:rsid w:val="00D63D70"/>
    <w:rsid w:val="00E2733A"/>
    <w:rsid w:val="00E41109"/>
    <w:rsid w:val="00E55B8F"/>
    <w:rsid w:val="00FB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B2A"/>
  </w:style>
  <w:style w:type="paragraph" w:styleId="berschrift1">
    <w:name w:val="heading 1"/>
    <w:basedOn w:val="Standard"/>
    <w:link w:val="berschrift1Zchn"/>
    <w:uiPriority w:val="9"/>
    <w:qFormat/>
    <w:rsid w:val="000B3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42B5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396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titel">
    <w:name w:val="jnentitel"/>
    <w:basedOn w:val="Absatz-Standardschriftart"/>
    <w:rsid w:val="000B396E"/>
  </w:style>
  <w:style w:type="character" w:styleId="Hyperlink">
    <w:name w:val="Hyperlink"/>
    <w:basedOn w:val="Absatz-Standardschriftart"/>
    <w:uiPriority w:val="99"/>
    <w:unhideWhenUsed/>
    <w:rsid w:val="00D63D7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10A2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E3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35FB"/>
  </w:style>
  <w:style w:type="paragraph" w:styleId="Fuzeile">
    <w:name w:val="footer"/>
    <w:basedOn w:val="Standard"/>
    <w:link w:val="FuzeileZchn"/>
    <w:uiPriority w:val="99"/>
    <w:unhideWhenUsed/>
    <w:rsid w:val="000E3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35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lagepaten.eu/mund-nasen-masken-juristisch-betrachtet/" TargetMode="External"/><Relationship Id="rId1" Type="http://schemas.openxmlformats.org/officeDocument/2006/relationships/hyperlink" Target="https://www.afa.zone/beitraege/ivett-kaminski/maskenpflicht-keine-mitfuehrpflicht-von-attesten-kein-einsichtsrecht-in-attest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RM</cp:lastModifiedBy>
  <cp:revision>4</cp:revision>
  <cp:lastPrinted>2020-09-16T07:53:00Z</cp:lastPrinted>
  <dcterms:created xsi:type="dcterms:W3CDTF">2020-09-16T08:21:00Z</dcterms:created>
  <dcterms:modified xsi:type="dcterms:W3CDTF">2020-09-26T15:55:00Z</dcterms:modified>
</cp:coreProperties>
</file>